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DE" w:rsidRPr="00684837" w:rsidRDefault="009E69DE" w:rsidP="009E69DE">
      <w:pPr>
        <w:pStyle w:val="Nagwek1"/>
        <w:spacing w:line="360" w:lineRule="auto"/>
      </w:pPr>
      <w:bookmarkStart w:id="0" w:name="_Toc503818303"/>
      <w:bookmarkStart w:id="1" w:name="_GoBack"/>
      <w:bookmarkEnd w:id="1"/>
      <w:r w:rsidRPr="00684837">
        <w:t>STRESZCZENIE</w:t>
      </w:r>
      <w:bookmarkEnd w:id="0"/>
      <w:r>
        <w:t xml:space="preserve"> PO POLSKU </w:t>
      </w:r>
    </w:p>
    <w:p w:rsidR="00D964FC" w:rsidRPr="00D964FC" w:rsidRDefault="00D964FC" w:rsidP="00D964FC">
      <w:pPr>
        <w:jc w:val="center"/>
        <w:rPr>
          <w:b/>
          <w:bCs/>
        </w:rPr>
      </w:pPr>
      <w:r w:rsidRPr="00D964FC">
        <w:rPr>
          <w:b/>
          <w:bCs/>
        </w:rPr>
        <w:t>Wpływ polimorfizmu pojedynczego nukleotydu rs868 na wynik przeszczepu wątroby w wirusowym zapaleniu wątroby typu C</w:t>
      </w:r>
    </w:p>
    <w:p w:rsidR="009E69DE" w:rsidRPr="00D22524" w:rsidRDefault="009E69DE" w:rsidP="009E69DE">
      <w:pPr>
        <w:spacing w:before="240" w:line="360" w:lineRule="auto"/>
        <w:ind w:firstLine="851"/>
      </w:pPr>
      <w:r w:rsidRPr="00D22524">
        <w:t>Zakażenie wirusem zapalenia wątroby typu C (HCV) jest główną przyczyną przewlekłego zapalenia wątroby, marskości wątroby i raka wątrobowokomórkowego (HCC). W USA i Europie, schyłkowa niewydolność wątroby związana z zakażeniem HCV pozostaje głównym wskazaniem do przeszczep</w:t>
      </w:r>
      <w:r>
        <w:t xml:space="preserve">ienia wątroby. Dodatkowo, rokowanie </w:t>
      </w:r>
      <w:r w:rsidRPr="00D22524">
        <w:t>u biorców</w:t>
      </w:r>
      <w:r>
        <w:t xml:space="preserve"> przeszczepu wątroby</w:t>
      </w:r>
      <w:r w:rsidRPr="00D22524">
        <w:t xml:space="preserve"> zakażonych wirusem HCV (HCV+) j</w:t>
      </w:r>
      <w:r>
        <w:t xml:space="preserve">est gorsze w związku z powtórnym zakażeniem i zapaleniem </w:t>
      </w:r>
      <w:r w:rsidRPr="00D22524">
        <w:t xml:space="preserve">przeszczepionej wątroby. </w:t>
      </w:r>
    </w:p>
    <w:p w:rsidR="009E69DE" w:rsidRPr="00D22524" w:rsidRDefault="009E69DE" w:rsidP="009E69DE">
      <w:pPr>
        <w:spacing w:line="360" w:lineRule="auto"/>
        <w:ind w:firstLine="851"/>
      </w:pPr>
      <w:r>
        <w:t>Różnorodność</w:t>
      </w:r>
      <w:r w:rsidRPr="00D22524">
        <w:t xml:space="preserve"> genetyczna </w:t>
      </w:r>
      <w:r>
        <w:t>o</w:t>
      </w:r>
      <w:r w:rsidRPr="00D22524">
        <w:t>dgrywa decydującą rolę</w:t>
      </w:r>
      <w:r w:rsidRPr="006759FC">
        <w:t xml:space="preserve"> </w:t>
      </w:r>
      <w:r>
        <w:t>w indywidualnie zmiennym</w:t>
      </w:r>
      <w:r w:rsidRPr="00D22524">
        <w:t xml:space="preserve"> przebieg</w:t>
      </w:r>
      <w:r>
        <w:t>u</w:t>
      </w:r>
      <w:r w:rsidRPr="00D22524">
        <w:t xml:space="preserve"> pooperacyjny</w:t>
      </w:r>
      <w:r>
        <w:t>m</w:t>
      </w:r>
      <w:r w:rsidRPr="00D22524">
        <w:t xml:space="preserve"> u </w:t>
      </w:r>
      <w:r>
        <w:t>HCV+ biorców przeszczepu wątroby</w:t>
      </w:r>
      <w:r w:rsidRPr="00D22524">
        <w:t xml:space="preserve">. Polimorfizmy pojedynczego nukleotydu (SNP) są najczęstszą formą odmian genetycznych. Liczne opracowania naukowe wykazały korelację między wynikiem przeszczepu wątroby a genotypem </w:t>
      </w:r>
      <w:r>
        <w:t xml:space="preserve">SNP </w:t>
      </w:r>
      <w:r w:rsidRPr="00D22524">
        <w:t>biorcy i dawcy. Najlepiej udokumentowanymi SNP korelującymi z przebiegiem pooperacyjnym przeszczep</w:t>
      </w:r>
      <w:r>
        <w:t>ienia</w:t>
      </w:r>
      <w:r w:rsidRPr="00D22524">
        <w:t xml:space="preserve"> wątroby są SNP genu </w:t>
      </w:r>
      <w:r w:rsidRPr="00D22524">
        <w:rPr>
          <w:i/>
        </w:rPr>
        <w:t>IL-28</w:t>
      </w:r>
      <w:r>
        <w:rPr>
          <w:i/>
        </w:rPr>
        <w:t>B</w:t>
      </w:r>
      <w:r>
        <w:rPr>
          <w:iCs/>
        </w:rPr>
        <w:t xml:space="preserve">, </w:t>
      </w:r>
      <w:r w:rsidRPr="00D22524">
        <w:t xml:space="preserve">enzymów związanych z metabolizmem </w:t>
      </w:r>
      <w:r>
        <w:t xml:space="preserve">i farmakokinetyką </w:t>
      </w:r>
      <w:r w:rsidRPr="00D22524">
        <w:t>takrolimusu</w:t>
      </w:r>
      <w:r>
        <w:t xml:space="preserve"> (</w:t>
      </w:r>
      <w:r w:rsidRPr="00D22524">
        <w:rPr>
          <w:i/>
        </w:rPr>
        <w:t>CYP3A4</w:t>
      </w:r>
      <w:r>
        <w:t>,</w:t>
      </w:r>
      <w:r w:rsidRPr="00D22524">
        <w:t xml:space="preserve"> </w:t>
      </w:r>
      <w:r w:rsidRPr="00D22524">
        <w:rPr>
          <w:i/>
        </w:rPr>
        <w:t>CYP3A5</w:t>
      </w:r>
      <w:r w:rsidRPr="00D22524">
        <w:t xml:space="preserve"> oraz </w:t>
      </w:r>
      <w:r w:rsidRPr="00D22524">
        <w:rPr>
          <w:i/>
        </w:rPr>
        <w:t>MDR1/</w:t>
      </w:r>
      <w:r w:rsidRPr="007F70EF">
        <w:rPr>
          <w:i/>
        </w:rPr>
        <w:t>ABCB1</w:t>
      </w:r>
      <w:r w:rsidRPr="007F70EF">
        <w:rPr>
          <w:iCs/>
        </w:rPr>
        <w:t>)</w:t>
      </w:r>
      <w:r>
        <w:rPr>
          <w:iCs/>
        </w:rPr>
        <w:t xml:space="preserve">, genów związanych z podatnością na infekcję po przeszczepieniu </w:t>
      </w:r>
      <w:r>
        <w:t>(</w:t>
      </w:r>
      <w:r w:rsidRPr="00D22524">
        <w:rPr>
          <w:rFonts w:eastAsia="Times New Roman"/>
          <w:i/>
          <w:iCs/>
          <w:lang w:eastAsia="en-GB"/>
        </w:rPr>
        <w:t>TLR2</w:t>
      </w:r>
      <w:r w:rsidRPr="00D22524">
        <w:rPr>
          <w:rFonts w:eastAsia="Times New Roman"/>
          <w:lang w:eastAsia="en-GB"/>
        </w:rPr>
        <w:t xml:space="preserve">, </w:t>
      </w:r>
      <w:r w:rsidRPr="00D22524">
        <w:rPr>
          <w:rFonts w:eastAsia="Times New Roman"/>
          <w:i/>
          <w:iCs/>
          <w:lang w:eastAsia="en-GB"/>
        </w:rPr>
        <w:t>TLR4</w:t>
      </w:r>
      <w:r w:rsidRPr="00D22524">
        <w:rPr>
          <w:rFonts w:eastAsia="Times New Roman"/>
          <w:lang w:eastAsia="en-GB"/>
        </w:rPr>
        <w:t xml:space="preserve">, </w:t>
      </w:r>
      <w:r w:rsidRPr="00D22524">
        <w:rPr>
          <w:rFonts w:eastAsia="Times New Roman"/>
          <w:i/>
          <w:iCs/>
          <w:lang w:eastAsia="en-GB"/>
        </w:rPr>
        <w:t>MBL2, NOD2</w:t>
      </w:r>
      <w:r>
        <w:rPr>
          <w:rFonts w:eastAsia="Times New Roman"/>
          <w:lang w:eastAsia="en-GB"/>
        </w:rPr>
        <w:t>) oraz</w:t>
      </w:r>
      <w:r w:rsidRPr="00D22524">
        <w:rPr>
          <w:rFonts w:eastAsia="Times New Roman"/>
          <w:lang w:eastAsia="en-GB"/>
        </w:rPr>
        <w:t xml:space="preserve"> o</w:t>
      </w:r>
      <w:r>
        <w:rPr>
          <w:rFonts w:eastAsia="Times New Roman"/>
          <w:lang w:eastAsia="en-GB"/>
        </w:rPr>
        <w:t>strym o</w:t>
      </w:r>
      <w:r w:rsidRPr="00D22524">
        <w:rPr>
          <w:rFonts w:eastAsia="Times New Roman"/>
          <w:lang w:eastAsia="en-GB"/>
        </w:rPr>
        <w:t>drzucanie</w:t>
      </w:r>
      <w:r>
        <w:rPr>
          <w:rFonts w:eastAsia="Times New Roman"/>
          <w:lang w:eastAsia="en-GB"/>
        </w:rPr>
        <w:t>m</w:t>
      </w:r>
      <w:r w:rsidRPr="00D22524">
        <w:rPr>
          <w:rFonts w:eastAsia="Times New Roman"/>
          <w:lang w:eastAsia="en-GB"/>
        </w:rPr>
        <w:t xml:space="preserve"> przeszczepu (</w:t>
      </w:r>
      <w:r w:rsidRPr="00D22524">
        <w:rPr>
          <w:rFonts w:eastAsia="Times New Roman"/>
          <w:i/>
          <w:iCs/>
          <w:lang w:eastAsia="en-GB"/>
        </w:rPr>
        <w:t>CTLA-4</w:t>
      </w:r>
      <w:r w:rsidRPr="00D22524">
        <w:rPr>
          <w:rFonts w:eastAsia="Times New Roman"/>
          <w:lang w:eastAsia="en-GB"/>
        </w:rPr>
        <w:t xml:space="preserve"> oraz </w:t>
      </w:r>
      <w:r w:rsidRPr="00D22524">
        <w:rPr>
          <w:rFonts w:eastAsia="Times New Roman"/>
          <w:i/>
          <w:iCs/>
          <w:lang w:eastAsia="en-GB"/>
        </w:rPr>
        <w:t>HLA-G</w:t>
      </w:r>
      <w:r w:rsidRPr="00D22524">
        <w:rPr>
          <w:rFonts w:eastAsia="Times New Roman"/>
          <w:lang w:eastAsia="en-GB"/>
        </w:rPr>
        <w:t>)</w:t>
      </w:r>
      <w:r w:rsidRPr="00D22524">
        <w:t xml:space="preserve">. </w:t>
      </w:r>
    </w:p>
    <w:p w:rsidR="009E69DE" w:rsidRPr="00D22524" w:rsidRDefault="009E69DE" w:rsidP="009E69DE">
      <w:pPr>
        <w:spacing w:line="360" w:lineRule="auto"/>
        <w:ind w:firstLine="851"/>
      </w:pPr>
      <w:r w:rsidRPr="00D22524">
        <w:t>Zakażenie HCV wiąże się ze znacznie podwyższonym poziomem transformującego czynnika wzrostu β1 (TGF-β1) w surowicy oraz wątrobie. Cytokina ta jest odpowiedzialna za proces włóknienia, wywiera działanie immunosupresyjne oraz pobudza proliferację wirusa. Cytokiny z rodziny TGF-</w:t>
      </w:r>
      <w:r w:rsidRPr="00D22524">
        <w:rPr>
          <w:lang w:val="en-US"/>
        </w:rPr>
        <w:t>β</w:t>
      </w:r>
      <w:r w:rsidRPr="00D22524">
        <w:t xml:space="preserve"> działają poprzez aktywację receptorów </w:t>
      </w:r>
      <w:r>
        <w:t>trans</w:t>
      </w:r>
      <w:r w:rsidRPr="00D22524">
        <w:t>b</w:t>
      </w:r>
      <w:r>
        <w:t>łonowych typu I i II (TGFBR1 i</w:t>
      </w:r>
      <w:r w:rsidRPr="00D22524">
        <w:t xml:space="preserve"> TGFBR2</w:t>
      </w:r>
      <w:r>
        <w:t>)</w:t>
      </w:r>
      <w:r w:rsidRPr="00D22524">
        <w:t xml:space="preserve">. </w:t>
      </w:r>
      <w:r>
        <w:t>W niniejszej pracy przeprowadzono</w:t>
      </w:r>
      <w:r w:rsidRPr="00D22524">
        <w:t xml:space="preserve"> a</w:t>
      </w:r>
      <w:r>
        <w:t>nalizę</w:t>
      </w:r>
      <w:r w:rsidRPr="00D22524">
        <w:t xml:space="preserve"> SNP zlokalizowanych w rejonie 3’UTR genu </w:t>
      </w:r>
      <w:r w:rsidRPr="00D22524">
        <w:rPr>
          <w:i/>
          <w:iCs/>
        </w:rPr>
        <w:t xml:space="preserve">TGFBR1 </w:t>
      </w:r>
      <w:r w:rsidRPr="00D22524">
        <w:t>u biorców i dawców przeszczepu wątroby po zakażeniu HC</w:t>
      </w:r>
      <w:r>
        <w:t>V</w:t>
      </w:r>
      <w:r w:rsidRPr="00D22524">
        <w:t>.</w:t>
      </w:r>
      <w:r>
        <w:t xml:space="preserve"> </w:t>
      </w:r>
      <w:r w:rsidRPr="00D22524">
        <w:t>Rejon 3’UTR jest miejscem wiązania się cząsteczek microRNA do mRNA. Interakcja microRNA/mRNA wpływa na stabilność cząsteczek mRNA prze</w:t>
      </w:r>
      <w:r>
        <w:t>z</w:t>
      </w:r>
      <w:r w:rsidRPr="00D22524">
        <w:t xml:space="preserve"> co stanowi ważny element potranskrypcyjnej regulacji ekspresji genu. </w:t>
      </w:r>
      <w:r>
        <w:t>Z</w:t>
      </w:r>
      <w:r w:rsidRPr="00D22524">
        <w:t>mienność genetyczna, w tym SNP w rejonie 3’UTR</w:t>
      </w:r>
      <w:r>
        <w:t>,</w:t>
      </w:r>
      <w:r w:rsidRPr="00D22524">
        <w:t xml:space="preserve"> może mieć decydujący wpływ na ekspresję genu poprzez modyfikację </w:t>
      </w:r>
      <w:r>
        <w:t xml:space="preserve">interakcji microRNA/mRNA. </w:t>
      </w:r>
      <w:r w:rsidRPr="00D22524">
        <w:t xml:space="preserve">Znaczenie SNP zlokalizowanych w rejonie 3’UTR wykazano na poziomie klinicznym w licznych procesach chorobowych oraz udowodniono ich wpływ na wiązanie microRNA. Cząsteczki microRNA odgrywają istotną rolę w przebiegu zakażenia HCV. </w:t>
      </w:r>
      <w:r w:rsidRPr="00D22524">
        <w:rPr>
          <w:bCs/>
        </w:rPr>
        <w:t>Przykładem takiego wpływu jest specyficzny dl</w:t>
      </w:r>
      <w:r>
        <w:rPr>
          <w:bCs/>
        </w:rPr>
        <w:t>a hepatocytów miR-122. Cząsteczka miR-122</w:t>
      </w:r>
      <w:r w:rsidRPr="00D22524">
        <w:rPr>
          <w:bCs/>
        </w:rPr>
        <w:t xml:space="preserve"> stabilizuje RNA wirusa HCV poprzez wiązanie z rejonem 5’UTR genomu wirusa </w:t>
      </w:r>
      <w:r w:rsidRPr="00D22524">
        <w:rPr>
          <w:bCs/>
        </w:rPr>
        <w:lastRenderedPageBreak/>
        <w:t>HCV i w ten sposób promuje zakażenie</w:t>
      </w:r>
      <w:r>
        <w:t xml:space="preserve">. Alternatywnie, interakcja HCV z </w:t>
      </w:r>
      <w:r w:rsidRPr="00D22524">
        <w:t xml:space="preserve">microRNA </w:t>
      </w:r>
      <w:r>
        <w:t>komórek</w:t>
      </w:r>
      <w:r w:rsidRPr="00D22524">
        <w:t xml:space="preserve"> gospodarza może być oparta na wpływie na geny szlaków sygnałowych gospodarza i modulację układu immunologicznego, odpowiedzi zapalnej </w:t>
      </w:r>
      <w:r>
        <w:t>lub</w:t>
      </w:r>
      <w:r w:rsidRPr="00D22524">
        <w:t xml:space="preserve"> włóknienia. </w:t>
      </w:r>
    </w:p>
    <w:p w:rsidR="009E69DE" w:rsidRDefault="009E69DE" w:rsidP="009E69DE">
      <w:pPr>
        <w:spacing w:line="360" w:lineRule="auto"/>
        <w:ind w:firstLine="708"/>
      </w:pPr>
      <w:r w:rsidRPr="00D22524">
        <w:t xml:space="preserve">Oczekiwanym </w:t>
      </w:r>
      <w:r>
        <w:t>wynikiem</w:t>
      </w:r>
      <w:r w:rsidRPr="00D22524">
        <w:t xml:space="preserve"> badania było zidentyfikowani</w:t>
      </w:r>
      <w:r>
        <w:t>e</w:t>
      </w:r>
      <w:r w:rsidRPr="00D22524">
        <w:t xml:space="preserve"> SNP mających wartość prognostyczną w przebiegu nawrotu zapalenia wątroby typu C po przeszczepieniu wątroby</w:t>
      </w:r>
      <w:r>
        <w:t xml:space="preserve"> i zbadanie ich biologicznego mechanizmu działania. W tym celu w pierwszym etapie przeprowadzono</w:t>
      </w:r>
      <w:r w:rsidRPr="00D22524">
        <w:t xml:space="preserve"> </w:t>
      </w:r>
      <w:r w:rsidRPr="00D22524">
        <w:rPr>
          <w:lang w:eastAsia="en-GB"/>
        </w:rPr>
        <w:t xml:space="preserve">genotypowanie </w:t>
      </w:r>
      <w:r>
        <w:rPr>
          <w:lang w:eastAsia="en-GB"/>
        </w:rPr>
        <w:t xml:space="preserve">DNA uzyskanego z </w:t>
      </w:r>
      <w:r w:rsidRPr="00D22524">
        <w:rPr>
          <w:lang w:eastAsia="en-GB"/>
        </w:rPr>
        <w:t>archiwaln</w:t>
      </w:r>
      <w:r>
        <w:rPr>
          <w:lang w:eastAsia="en-GB"/>
        </w:rPr>
        <w:t>ych</w:t>
      </w:r>
      <w:r w:rsidRPr="00D22524">
        <w:rPr>
          <w:lang w:eastAsia="en-GB"/>
        </w:rPr>
        <w:t xml:space="preserve"> bloczk</w:t>
      </w:r>
      <w:r>
        <w:rPr>
          <w:lang w:eastAsia="en-GB"/>
        </w:rPr>
        <w:t>ów</w:t>
      </w:r>
      <w:r w:rsidRPr="00D22524">
        <w:rPr>
          <w:lang w:eastAsia="en-GB"/>
        </w:rPr>
        <w:t xml:space="preserve"> parafinow</w:t>
      </w:r>
      <w:r>
        <w:rPr>
          <w:lang w:eastAsia="en-GB"/>
        </w:rPr>
        <w:t xml:space="preserve">ych </w:t>
      </w:r>
      <w:r w:rsidRPr="00D22524">
        <w:rPr>
          <w:lang w:eastAsia="en-GB"/>
        </w:rPr>
        <w:t xml:space="preserve">95 par dawców i biorców HCV+ w kierunku dwóch SNP znajdujących się w rejonie 3’UTR genu </w:t>
      </w:r>
      <w:r w:rsidRPr="00D22524">
        <w:rPr>
          <w:i/>
          <w:iCs/>
          <w:lang w:eastAsia="en-GB"/>
        </w:rPr>
        <w:t xml:space="preserve">TGFBR1 </w:t>
      </w:r>
      <w:r w:rsidRPr="00D22524">
        <w:rPr>
          <w:lang w:eastAsia="en-GB"/>
        </w:rPr>
        <w:t>i występujących z częstością &gt;5% w populacji kaukaskiej (rs868 oraz rs334349)</w:t>
      </w:r>
      <w:r>
        <w:rPr>
          <w:lang w:eastAsia="en-GB"/>
        </w:rPr>
        <w:t xml:space="preserve">. Przeprowadzono analizę korelacji genotypu z częstością i nasileniem nawrotu zapalenia wątroby typu C typując allel A SNP rs868 dawcy jako niekorzystny czynnik rokowniczy. </w:t>
      </w:r>
      <w:r w:rsidRPr="00D22524">
        <w:rPr>
          <w:lang w:eastAsia="en-GB"/>
        </w:rPr>
        <w:t xml:space="preserve">Przeprowadzono analizę </w:t>
      </w:r>
      <w:r w:rsidRPr="00D22524">
        <w:rPr>
          <w:i/>
          <w:iCs/>
          <w:lang w:eastAsia="en-GB"/>
        </w:rPr>
        <w:t xml:space="preserve">in silico </w:t>
      </w:r>
      <w:r w:rsidRPr="00D22524">
        <w:rPr>
          <w:lang w:eastAsia="en-GB"/>
        </w:rPr>
        <w:t>SNP rs868 z wykorzystaniem programu TargetScan</w:t>
      </w:r>
      <w:r>
        <w:rPr>
          <w:lang w:eastAsia="en-GB"/>
        </w:rPr>
        <w:t xml:space="preserve"> potwierdzając przyłączanie się</w:t>
      </w:r>
      <w:r w:rsidRPr="00D22524">
        <w:rPr>
          <w:lang w:eastAsia="en-GB"/>
        </w:rPr>
        <w:t xml:space="preserve"> cząsteczek microRNA z rodziny let-7/miR98</w:t>
      </w:r>
      <w:r>
        <w:rPr>
          <w:lang w:eastAsia="en-GB"/>
        </w:rPr>
        <w:t xml:space="preserve"> </w:t>
      </w:r>
      <w:r w:rsidRPr="00D22524">
        <w:rPr>
          <w:lang w:eastAsia="en-GB"/>
        </w:rPr>
        <w:t xml:space="preserve">do mRNA TGFBR1 w locus tego SNP. </w:t>
      </w:r>
      <w:r>
        <w:rPr>
          <w:lang w:eastAsia="en-GB"/>
        </w:rPr>
        <w:t xml:space="preserve">Za pomocą </w:t>
      </w:r>
      <w:r w:rsidRPr="00D22524">
        <w:rPr>
          <w:lang w:eastAsia="en-GB"/>
        </w:rPr>
        <w:t>plazmid</w:t>
      </w:r>
      <w:r>
        <w:rPr>
          <w:lang w:eastAsia="en-GB"/>
        </w:rPr>
        <w:t>u</w:t>
      </w:r>
      <w:r w:rsidRPr="00D22524">
        <w:rPr>
          <w:lang w:eastAsia="en-GB"/>
        </w:rPr>
        <w:t xml:space="preserve"> </w:t>
      </w:r>
      <w:r>
        <w:rPr>
          <w:lang w:eastAsia="en-GB"/>
        </w:rPr>
        <w:t xml:space="preserve">reporterowego zawierającego gen lucyferazy oraz wklonowany fragment rejonu 3’UTR genu </w:t>
      </w:r>
      <w:r w:rsidRPr="00D22524">
        <w:rPr>
          <w:i/>
          <w:iCs/>
          <w:lang w:eastAsia="en-GB"/>
        </w:rPr>
        <w:t xml:space="preserve">TGFBR1 </w:t>
      </w:r>
      <w:r>
        <w:rPr>
          <w:lang w:eastAsia="en-GB"/>
        </w:rPr>
        <w:t xml:space="preserve">obejmujący locus SNP rs868 potwierdzono jego działanie biologiczne w wątrobowej linii komórkowej. W dalszym etapie badania wykorzystując świeżo mrożone próbki biopsji HCV+ </w:t>
      </w:r>
      <w:r w:rsidRPr="00D22524">
        <w:rPr>
          <w:lang w:eastAsia="en-GB"/>
        </w:rPr>
        <w:t xml:space="preserve">biorców </w:t>
      </w:r>
      <w:r>
        <w:rPr>
          <w:lang w:eastAsia="en-GB"/>
        </w:rPr>
        <w:t>przeszczepu wątroby potwierdzono ujemną korelację między microRNA z rodziny let-7/mir-98 a RNA HCV i mRNA TGFBR1. Korelacja ta była znacznie silniejsza i osiągnęła istotność statystyczną u nosicieli allelu G dla SNP rs868</w:t>
      </w:r>
      <w:r>
        <w:t xml:space="preserve">. </w:t>
      </w:r>
      <w:r w:rsidRPr="00D22524">
        <w:rPr>
          <w:rStyle w:val="Nagwek2Znak"/>
        </w:rPr>
        <w:t>Dodatkowo, p</w:t>
      </w:r>
      <w:r w:rsidRPr="00D22524">
        <w:t xml:space="preserve">omiędzy poziomem mRNA TGFBR1 oraz HCV RNA zaobserwowano silną dodatnią korelację niezależnie od genotypu. </w:t>
      </w:r>
      <w:r>
        <w:t xml:space="preserve">Odnotowano również </w:t>
      </w:r>
      <w:r w:rsidRPr="00D22524">
        <w:t>negatywną korelację między poziomem</w:t>
      </w:r>
      <w:r>
        <w:t xml:space="preserve"> </w:t>
      </w:r>
      <w:r w:rsidRPr="00D22524">
        <w:t xml:space="preserve">microRNA let-7/miR98 a </w:t>
      </w:r>
      <w:r>
        <w:t xml:space="preserve">histopatologicznymi parametrami stanu zapalnego tylko u nosicieli allelu G dla rs868. </w:t>
      </w:r>
    </w:p>
    <w:p w:rsidR="009E69DE" w:rsidRPr="00D22524" w:rsidRDefault="009E69DE" w:rsidP="009E69DE">
      <w:pPr>
        <w:spacing w:line="360" w:lineRule="auto"/>
        <w:ind w:firstLine="708"/>
      </w:pPr>
      <w:r>
        <w:t>Uzyskane wyniki wskazują na wpływ</w:t>
      </w:r>
      <w:r w:rsidRPr="00D22524">
        <w:t xml:space="preserve"> genotypu rs868 dawcy na przebieg nawrotu zapalenia wątroby typu C po przeszczepie</w:t>
      </w:r>
      <w:r>
        <w:t>niu</w:t>
      </w:r>
      <w:r w:rsidRPr="00D22524">
        <w:t xml:space="preserve"> wątroby. </w:t>
      </w:r>
      <w:r>
        <w:t xml:space="preserve">Allel A tego SNP u dawcy jest allelem niekorzystnym rokowniczo. </w:t>
      </w:r>
      <w:r w:rsidRPr="00D22524">
        <w:t>W świetle przedstawionej literatury oraz biorąc pod uwagę potencjał terapeutyczny cząsteczek mi</w:t>
      </w:r>
      <w:r>
        <w:t>cro</w:t>
      </w:r>
      <w:r w:rsidRPr="00D22524">
        <w:t xml:space="preserve">RNA, SNP ten może być wykorzystywany jako nieinwazyjny marker </w:t>
      </w:r>
      <w:r>
        <w:t xml:space="preserve">rokowniczy </w:t>
      </w:r>
      <w:r w:rsidRPr="00D22524">
        <w:t>po przeszczep</w:t>
      </w:r>
      <w:r>
        <w:t>ieniu wątroby u pacjentów HCV+ oraz jako czynnik</w:t>
      </w:r>
      <w:r w:rsidRPr="00D22524">
        <w:t xml:space="preserve"> przewidujący wynik</w:t>
      </w:r>
      <w:r>
        <w:t>i</w:t>
      </w:r>
      <w:r w:rsidRPr="00D22524">
        <w:t xml:space="preserve"> leczenia opartego na technologii microRNA w przyszłości.</w:t>
      </w:r>
      <w:r>
        <w:t xml:space="preserve"> </w:t>
      </w:r>
    </w:p>
    <w:p w:rsidR="009E69DE" w:rsidRPr="004864AC" w:rsidRDefault="009E69DE" w:rsidP="009E69DE">
      <w:pPr>
        <w:spacing w:line="360" w:lineRule="auto"/>
        <w:ind w:firstLine="851"/>
        <w:rPr>
          <w:lang w:val="en-US"/>
        </w:rPr>
      </w:pPr>
      <w:r w:rsidRPr="004864AC">
        <w:rPr>
          <w:lang w:val="en-US"/>
        </w:rPr>
        <w:t>.</w:t>
      </w:r>
    </w:p>
    <w:p w:rsidR="009E69DE" w:rsidRPr="004864AC" w:rsidRDefault="009E69DE" w:rsidP="009E69DE">
      <w:pPr>
        <w:autoSpaceDE/>
        <w:autoSpaceDN/>
        <w:adjustRightInd/>
        <w:spacing w:line="360" w:lineRule="auto"/>
        <w:rPr>
          <w:rFonts w:ascii="Times New Roman" w:eastAsia="Times New Roman" w:hAnsi="Times New Roman"/>
          <w:b/>
          <w:bCs/>
          <w:kern w:val="36"/>
          <w:szCs w:val="48"/>
          <w:lang w:val="en-US" w:eastAsia="pl-PL"/>
        </w:rPr>
      </w:pPr>
      <w:r w:rsidRPr="004864AC">
        <w:rPr>
          <w:lang w:val="en-US"/>
        </w:rPr>
        <w:br w:type="page"/>
      </w:r>
    </w:p>
    <w:p w:rsidR="009E69DE" w:rsidRPr="004864AC" w:rsidRDefault="009E69DE" w:rsidP="009E69DE">
      <w:pPr>
        <w:pStyle w:val="Nagwek1"/>
        <w:spacing w:line="360" w:lineRule="auto"/>
        <w:rPr>
          <w:lang w:val="en-US"/>
        </w:rPr>
      </w:pPr>
      <w:bookmarkStart w:id="2" w:name="_Toc503818304"/>
      <w:r w:rsidRPr="004864AC">
        <w:rPr>
          <w:lang w:val="en-US"/>
        </w:rPr>
        <w:lastRenderedPageBreak/>
        <w:t>STRESZCZENIE PO ANGIELSKU</w:t>
      </w:r>
      <w:bookmarkEnd w:id="2"/>
      <w:r w:rsidRPr="004864AC">
        <w:rPr>
          <w:lang w:val="en-US"/>
        </w:rPr>
        <w:t xml:space="preserve"> </w:t>
      </w:r>
    </w:p>
    <w:p w:rsidR="009E69DE" w:rsidRPr="004B352B" w:rsidRDefault="009E69DE" w:rsidP="009E69DE">
      <w:pPr>
        <w:pStyle w:val="Nagwek1"/>
        <w:spacing w:before="0" w:beforeAutospacing="0" w:after="0" w:afterAutospacing="0" w:line="360" w:lineRule="auto"/>
        <w:jc w:val="center"/>
        <w:rPr>
          <w:rFonts w:asciiTheme="majorBidi" w:hAnsiTheme="majorBidi"/>
          <w:szCs w:val="24"/>
          <w:lang w:val="en-US"/>
        </w:rPr>
      </w:pPr>
      <w:bookmarkStart w:id="3" w:name="_Toc502602702"/>
      <w:bookmarkStart w:id="4" w:name="_Toc503818305"/>
      <w:r w:rsidRPr="004B352B">
        <w:rPr>
          <w:rFonts w:asciiTheme="majorBidi" w:hAnsiTheme="majorBidi"/>
          <w:szCs w:val="24"/>
          <w:lang w:val="en-US"/>
        </w:rPr>
        <w:t>The impact of rs868 single nucleotide polymorphism on the course of hepatitis type C recurrence after liver transplantation</w:t>
      </w:r>
      <w:bookmarkEnd w:id="3"/>
      <w:bookmarkEnd w:id="4"/>
    </w:p>
    <w:p w:rsidR="009E69DE" w:rsidRPr="00866128" w:rsidRDefault="009E69DE" w:rsidP="009E69DE">
      <w:pPr>
        <w:spacing w:before="240" w:line="360" w:lineRule="auto"/>
        <w:ind w:firstLine="708"/>
        <w:rPr>
          <w:lang w:val="en-US"/>
        </w:rPr>
      </w:pPr>
      <w:r w:rsidRPr="00866128">
        <w:rPr>
          <w:lang w:val="en-US"/>
        </w:rPr>
        <w:t>HCV infection is one of the main etiologies of chronic hepatitis</w:t>
      </w:r>
      <w:r>
        <w:rPr>
          <w:lang w:val="en-US"/>
        </w:rPr>
        <w:t>, liver cirrhosis</w:t>
      </w:r>
      <w:r w:rsidRPr="00866128">
        <w:rPr>
          <w:lang w:val="en-US"/>
        </w:rPr>
        <w:t xml:space="preserve"> and hepatocellular carcinoma (HCC). According to USA and European liver transplantation registries, end-stage liver disease related to HCV infection remains the main indication for liver transplantation (LT</w:t>
      </w:r>
      <w:r>
        <w:rPr>
          <w:lang w:val="en-US"/>
        </w:rPr>
        <w:t xml:space="preserve">). </w:t>
      </w:r>
      <w:r w:rsidRPr="00866128">
        <w:rPr>
          <w:lang w:val="en-US"/>
        </w:rPr>
        <w:t xml:space="preserve">Additionally, </w:t>
      </w:r>
      <w:r>
        <w:rPr>
          <w:lang w:val="en-US"/>
        </w:rPr>
        <w:t>the outcome of</w:t>
      </w:r>
      <w:r w:rsidRPr="00866128">
        <w:rPr>
          <w:lang w:val="en-US"/>
        </w:rPr>
        <w:t xml:space="preserve"> LT in HCV inf</w:t>
      </w:r>
      <w:r>
        <w:rPr>
          <w:lang w:val="en-US"/>
        </w:rPr>
        <w:t>ected patients (HCV+) is impaired due to the inevitable reinfection and inflammation of the transplanted liver.</w:t>
      </w:r>
      <w:r w:rsidRPr="00866128">
        <w:rPr>
          <w:lang w:val="en-US"/>
        </w:rPr>
        <w:t xml:space="preserve"> </w:t>
      </w:r>
    </w:p>
    <w:p w:rsidR="009E69DE" w:rsidRPr="004864AC" w:rsidRDefault="009E69DE" w:rsidP="009E69DE">
      <w:pPr>
        <w:spacing w:line="360" w:lineRule="auto"/>
        <w:ind w:firstLine="851"/>
        <w:rPr>
          <w:lang w:val="en-US"/>
        </w:rPr>
      </w:pPr>
      <w:r>
        <w:rPr>
          <w:lang w:val="en-US"/>
        </w:rPr>
        <w:t>G</w:t>
      </w:r>
      <w:r w:rsidRPr="00866128">
        <w:rPr>
          <w:lang w:val="en-US"/>
        </w:rPr>
        <w:t xml:space="preserve">enetic diversity plays a crucial role in </w:t>
      </w:r>
      <w:r>
        <w:rPr>
          <w:lang w:val="en-US"/>
        </w:rPr>
        <w:t>t</w:t>
      </w:r>
      <w:r w:rsidRPr="00866128">
        <w:rPr>
          <w:lang w:val="en-US"/>
        </w:rPr>
        <w:t xml:space="preserve">he heterogeneity of postoperative course in HCV+ LT </w:t>
      </w:r>
      <w:r>
        <w:rPr>
          <w:lang w:val="en-US"/>
        </w:rPr>
        <w:t>recipients</w:t>
      </w:r>
      <w:r w:rsidRPr="00866128">
        <w:rPr>
          <w:lang w:val="en-US"/>
        </w:rPr>
        <w:t xml:space="preserve">. Single nucleotide polymorphisms (SNPs) are the most common form of genetic variation. Many studies identified correlations between recipient and donor SNPs and the outcome of LT. The </w:t>
      </w:r>
      <w:r>
        <w:rPr>
          <w:lang w:val="en-US"/>
        </w:rPr>
        <w:t>be</w:t>
      </w:r>
      <w:r w:rsidRPr="002A7946">
        <w:rPr>
          <w:lang w:val="en-US"/>
        </w:rPr>
        <w:t xml:space="preserve">st documented are the SNPs of </w:t>
      </w:r>
      <w:r w:rsidRPr="002A7946">
        <w:rPr>
          <w:i/>
          <w:iCs/>
          <w:lang w:val="en-US"/>
        </w:rPr>
        <w:t>IL-28B</w:t>
      </w:r>
      <w:r w:rsidRPr="002A7946">
        <w:rPr>
          <w:lang w:val="en-US"/>
        </w:rPr>
        <w:t xml:space="preserve"> gene, enzymes responsible for tacrolimus metabolism and pharmacokinetics (</w:t>
      </w:r>
      <w:r w:rsidRPr="002A7946">
        <w:rPr>
          <w:i/>
          <w:lang w:val="en-US"/>
        </w:rPr>
        <w:t>CYP3A4</w:t>
      </w:r>
      <w:r w:rsidRPr="002A7946">
        <w:rPr>
          <w:lang w:val="en-US"/>
        </w:rPr>
        <w:t xml:space="preserve">, </w:t>
      </w:r>
      <w:r w:rsidRPr="002A7946">
        <w:rPr>
          <w:i/>
          <w:lang w:val="en-US"/>
        </w:rPr>
        <w:t>CYP3A5</w:t>
      </w:r>
      <w:r>
        <w:rPr>
          <w:lang w:val="en-US"/>
        </w:rPr>
        <w:t>,</w:t>
      </w:r>
      <w:r w:rsidRPr="002A7946">
        <w:rPr>
          <w:lang w:val="en-US"/>
        </w:rPr>
        <w:t xml:space="preserve"> </w:t>
      </w:r>
      <w:r w:rsidRPr="002A7946">
        <w:rPr>
          <w:i/>
          <w:lang w:val="en-US"/>
        </w:rPr>
        <w:t>MDR1/ABCB1</w:t>
      </w:r>
      <w:r w:rsidRPr="002A7946">
        <w:rPr>
          <w:iCs/>
          <w:lang w:val="en-US"/>
        </w:rPr>
        <w:t xml:space="preserve">), genes related to susceptibility to infection after </w:t>
      </w:r>
      <w:r>
        <w:rPr>
          <w:iCs/>
          <w:lang w:val="en-US"/>
        </w:rPr>
        <w:t xml:space="preserve">LT </w:t>
      </w:r>
      <w:r w:rsidRPr="002A7946">
        <w:rPr>
          <w:lang w:val="en-US"/>
        </w:rPr>
        <w:t>(</w:t>
      </w:r>
      <w:r w:rsidRPr="002A7946">
        <w:rPr>
          <w:rFonts w:eastAsia="Times New Roman"/>
          <w:i/>
          <w:iCs/>
          <w:lang w:val="en-US" w:eastAsia="en-GB"/>
        </w:rPr>
        <w:t>TLR2</w:t>
      </w:r>
      <w:r w:rsidRPr="002A7946">
        <w:rPr>
          <w:rFonts w:eastAsia="Times New Roman"/>
          <w:lang w:val="en-US" w:eastAsia="en-GB"/>
        </w:rPr>
        <w:t xml:space="preserve">, </w:t>
      </w:r>
      <w:r w:rsidRPr="002A7946">
        <w:rPr>
          <w:rFonts w:eastAsia="Times New Roman"/>
          <w:i/>
          <w:iCs/>
          <w:lang w:val="en-US" w:eastAsia="en-GB"/>
        </w:rPr>
        <w:t>TLR4</w:t>
      </w:r>
      <w:r w:rsidRPr="002A7946">
        <w:rPr>
          <w:rFonts w:eastAsia="Times New Roman"/>
          <w:lang w:val="en-US" w:eastAsia="en-GB"/>
        </w:rPr>
        <w:t xml:space="preserve">, </w:t>
      </w:r>
      <w:r w:rsidRPr="002A7946">
        <w:rPr>
          <w:rFonts w:eastAsia="Times New Roman"/>
          <w:i/>
          <w:iCs/>
          <w:lang w:val="en-US" w:eastAsia="en-GB"/>
        </w:rPr>
        <w:t>MBL2, NOD2</w:t>
      </w:r>
      <w:r w:rsidRPr="002A7946">
        <w:rPr>
          <w:rFonts w:eastAsia="Times New Roman"/>
          <w:lang w:val="en-US" w:eastAsia="en-GB"/>
        </w:rPr>
        <w:t>) and acute graft rejection (</w:t>
      </w:r>
      <w:r w:rsidRPr="002A7946">
        <w:rPr>
          <w:rFonts w:eastAsia="Times New Roman"/>
          <w:i/>
          <w:iCs/>
          <w:lang w:val="en-US" w:eastAsia="en-GB"/>
        </w:rPr>
        <w:t xml:space="preserve">CTLA-4 </w:t>
      </w:r>
      <w:r w:rsidRPr="002A7946">
        <w:rPr>
          <w:rFonts w:eastAsia="Times New Roman"/>
          <w:lang w:val="en-US" w:eastAsia="en-GB"/>
        </w:rPr>
        <w:t xml:space="preserve">and </w:t>
      </w:r>
      <w:r w:rsidRPr="002A7946">
        <w:rPr>
          <w:rFonts w:eastAsia="Times New Roman"/>
          <w:i/>
          <w:iCs/>
          <w:lang w:val="en-US" w:eastAsia="en-GB"/>
        </w:rPr>
        <w:t>HLA-G</w:t>
      </w:r>
      <w:r w:rsidRPr="002A7946">
        <w:rPr>
          <w:rFonts w:eastAsia="Times New Roman"/>
          <w:lang w:val="en-US" w:eastAsia="en-GB"/>
        </w:rPr>
        <w:t>)</w:t>
      </w:r>
      <w:r w:rsidRPr="002A7946">
        <w:rPr>
          <w:lang w:val="en-US"/>
        </w:rPr>
        <w:t>.</w:t>
      </w:r>
      <w:r w:rsidRPr="004864AC">
        <w:rPr>
          <w:lang w:val="en-US"/>
        </w:rPr>
        <w:t xml:space="preserve"> </w:t>
      </w:r>
    </w:p>
    <w:p w:rsidR="009E69DE" w:rsidRPr="00866128" w:rsidRDefault="009E69DE" w:rsidP="009E69DE">
      <w:pPr>
        <w:spacing w:line="360" w:lineRule="auto"/>
        <w:ind w:firstLine="851"/>
        <w:rPr>
          <w:lang w:val="en-US"/>
        </w:rPr>
      </w:pPr>
      <w:r>
        <w:rPr>
          <w:lang w:val="en-US"/>
        </w:rPr>
        <w:t xml:space="preserve">HCV infection leads to </w:t>
      </w:r>
      <w:r w:rsidRPr="00866128">
        <w:rPr>
          <w:lang w:val="en-US"/>
        </w:rPr>
        <w:t>significant increase of transforming growth factor β 1 (TGF</w:t>
      </w:r>
      <w:r>
        <w:rPr>
          <w:lang w:val="en-US"/>
        </w:rPr>
        <w:noBreakHyphen/>
      </w:r>
      <w:r w:rsidRPr="00866128">
        <w:rPr>
          <w:lang w:val="en-US"/>
        </w:rPr>
        <w:t>β1) levels in liver and serum. This cytokine is responsible for fibrosis, increase of HCV proliferation and has an immunosuppressive effect. TGF-β cytokines act by binding to their type I and II transmembrane receptors (TGFBR1 and TGFBR2</w:t>
      </w:r>
      <w:r>
        <w:rPr>
          <w:lang w:val="en-US"/>
        </w:rPr>
        <w:t>)</w:t>
      </w:r>
      <w:r w:rsidRPr="00866128">
        <w:rPr>
          <w:lang w:val="en-US"/>
        </w:rPr>
        <w:t>. Single nucleotide polymorphisms located within the 3’UTR region of transforming growth factor type I receptor</w:t>
      </w:r>
      <w:r>
        <w:rPr>
          <w:lang w:val="en-US"/>
        </w:rPr>
        <w:t xml:space="preserve"> gene </w:t>
      </w:r>
      <w:r w:rsidRPr="00866128">
        <w:rPr>
          <w:lang w:val="en-US"/>
        </w:rPr>
        <w:t>(</w:t>
      </w:r>
      <w:r w:rsidRPr="00866128">
        <w:rPr>
          <w:i/>
          <w:iCs/>
          <w:lang w:val="en-US"/>
        </w:rPr>
        <w:t>TGFBR1)</w:t>
      </w:r>
      <w:r w:rsidRPr="00866128">
        <w:rPr>
          <w:lang w:val="en-US"/>
        </w:rPr>
        <w:t xml:space="preserve"> are the subject of this study</w:t>
      </w:r>
      <w:r w:rsidRPr="00866128">
        <w:rPr>
          <w:i/>
          <w:iCs/>
          <w:lang w:val="en-US"/>
        </w:rPr>
        <w:t>.</w:t>
      </w:r>
      <w:r w:rsidRPr="00866128">
        <w:rPr>
          <w:lang w:val="en-US"/>
        </w:rPr>
        <w:t xml:space="preserve"> 3’UTR region is a docking site for microRNA molecules that bind to mRNA. MicroRNA/mRNA interaction affect mRNA stability and pose an important posttranscriptional gene regulation mechanism. </w:t>
      </w:r>
      <w:r>
        <w:rPr>
          <w:lang w:val="en-US"/>
        </w:rPr>
        <w:t>G</w:t>
      </w:r>
      <w:r w:rsidRPr="00866128">
        <w:rPr>
          <w:lang w:val="en-US"/>
        </w:rPr>
        <w:t>enome polymorphisms located in the 3’UTR region, and among them SNPs, can modify this interaction and have a significant effect on gene expression. The clinical implications of SNPs located in the 3’UTR region have been proven in numerous diseases and their effe</w:t>
      </w:r>
      <w:r>
        <w:rPr>
          <w:lang w:val="en-US"/>
        </w:rPr>
        <w:t>ct on microRNA/mRNA binding has</w:t>
      </w:r>
      <w:r w:rsidRPr="00866128">
        <w:rPr>
          <w:lang w:val="en-US"/>
        </w:rPr>
        <w:t xml:space="preserve"> been demonstrated. MicroRNA molecules, as an important host regulatory factor, play a significant role in HCV infection. The best example is the liver specific miR-122</w:t>
      </w:r>
      <w:r w:rsidRPr="00866128">
        <w:rPr>
          <w:bCs/>
          <w:lang w:val="en-US"/>
        </w:rPr>
        <w:t xml:space="preserve">. </w:t>
      </w:r>
      <w:r>
        <w:rPr>
          <w:bCs/>
          <w:lang w:val="en-US"/>
        </w:rPr>
        <w:t xml:space="preserve">This molecule </w:t>
      </w:r>
      <w:r w:rsidRPr="00866128">
        <w:rPr>
          <w:bCs/>
          <w:lang w:val="en-US"/>
        </w:rPr>
        <w:t>binds to the 5’UTR region of HCV genome and stabilizes the HCV RNA</w:t>
      </w:r>
      <w:r>
        <w:rPr>
          <w:bCs/>
          <w:lang w:val="en-US"/>
        </w:rPr>
        <w:t xml:space="preserve"> leading to infection propagation</w:t>
      </w:r>
      <w:r w:rsidRPr="00866128">
        <w:rPr>
          <w:lang w:val="en-US"/>
        </w:rPr>
        <w:t>. Alternatively, HCV/host mi</w:t>
      </w:r>
      <w:r>
        <w:rPr>
          <w:lang w:val="en-US"/>
        </w:rPr>
        <w:t>cro</w:t>
      </w:r>
      <w:r w:rsidRPr="00866128">
        <w:rPr>
          <w:lang w:val="en-US"/>
        </w:rPr>
        <w:t xml:space="preserve">RNA interaction can be based on modification of the intracellular signaling pathways of the host cells. This can modify the immunological system, inflammation and fibrosis. </w:t>
      </w:r>
    </w:p>
    <w:p w:rsidR="009E69DE" w:rsidRPr="000C53CC" w:rsidRDefault="009E69DE" w:rsidP="009E69DE">
      <w:pPr>
        <w:spacing w:line="360" w:lineRule="auto"/>
        <w:ind w:firstLine="708"/>
        <w:rPr>
          <w:rFonts w:eastAsiaTheme="minorEastAsia"/>
          <w:lang w:val="en-US" w:eastAsia="en-GB"/>
        </w:rPr>
      </w:pPr>
      <w:r w:rsidRPr="00866128">
        <w:rPr>
          <w:lang w:val="en-US"/>
        </w:rPr>
        <w:lastRenderedPageBreak/>
        <w:t xml:space="preserve">The main </w:t>
      </w:r>
      <w:r>
        <w:rPr>
          <w:lang w:val="en-US"/>
        </w:rPr>
        <w:t>expected result of this study was</w:t>
      </w:r>
      <w:r w:rsidRPr="00866128">
        <w:rPr>
          <w:lang w:val="en-US"/>
        </w:rPr>
        <w:t xml:space="preserve"> identification of SNPs that can act as non-invasive prognostic makers of the severity of hepatitis C recurrence after liver transplantation</w:t>
      </w:r>
      <w:r>
        <w:rPr>
          <w:lang w:val="en-US"/>
        </w:rPr>
        <w:t xml:space="preserve"> and assessment of the biological mechanism of their action. For this purpose in the first stage of the study, </w:t>
      </w:r>
      <w:r w:rsidRPr="00866128">
        <w:rPr>
          <w:lang w:val="en-US" w:eastAsia="en-GB"/>
        </w:rPr>
        <w:t xml:space="preserve">95 </w:t>
      </w:r>
      <w:r>
        <w:rPr>
          <w:lang w:val="en-US" w:eastAsia="en-GB"/>
        </w:rPr>
        <w:t xml:space="preserve">pairs of </w:t>
      </w:r>
      <w:r w:rsidRPr="00866128">
        <w:rPr>
          <w:lang w:val="en-US" w:eastAsia="en-GB"/>
        </w:rPr>
        <w:t>archival paraffin embedded samples of the donor and recipient liver</w:t>
      </w:r>
      <w:r>
        <w:rPr>
          <w:lang w:val="en-US" w:eastAsia="en-GB"/>
        </w:rPr>
        <w:t>s were genotyped</w:t>
      </w:r>
      <w:r w:rsidRPr="003F0A42">
        <w:rPr>
          <w:lang w:val="en-US" w:eastAsia="en-GB"/>
        </w:rPr>
        <w:t xml:space="preserve"> </w:t>
      </w:r>
      <w:r w:rsidRPr="00866128">
        <w:rPr>
          <w:lang w:val="en-US" w:eastAsia="en-GB"/>
        </w:rPr>
        <w:t xml:space="preserve">for two SNPs located in the 3’UTR region of </w:t>
      </w:r>
      <w:r w:rsidRPr="00866128">
        <w:rPr>
          <w:i/>
          <w:iCs/>
          <w:lang w:val="en-US" w:eastAsia="en-GB"/>
        </w:rPr>
        <w:t>TGFBR1</w:t>
      </w:r>
      <w:r w:rsidRPr="00866128">
        <w:rPr>
          <w:lang w:val="en-US" w:eastAsia="en-GB"/>
        </w:rPr>
        <w:t xml:space="preserve"> gene that have an incidence of over 5% in Ca</w:t>
      </w:r>
      <w:r>
        <w:rPr>
          <w:lang w:val="en-US" w:eastAsia="en-GB"/>
        </w:rPr>
        <w:t>ucasian population (rs868 and rs</w:t>
      </w:r>
      <w:r w:rsidRPr="00866128">
        <w:rPr>
          <w:lang w:val="en-US" w:eastAsia="en-GB"/>
        </w:rPr>
        <w:t>334349</w:t>
      </w:r>
      <w:r>
        <w:rPr>
          <w:lang w:val="en-US" w:eastAsia="en-GB"/>
        </w:rPr>
        <w:t xml:space="preserve">). The genotypes were correlated with the incidence and severity of hepatitis C recurrence and the donor A allele of rs868 SNP was identified as a risk associated allele. </w:t>
      </w:r>
      <w:r w:rsidRPr="00866128" w:rsidDel="005C54CF">
        <w:rPr>
          <w:lang w:val="en-US" w:eastAsia="en-GB"/>
        </w:rPr>
        <w:t xml:space="preserve">The </w:t>
      </w:r>
      <w:r w:rsidRPr="00866128" w:rsidDel="005C54CF">
        <w:rPr>
          <w:i/>
          <w:iCs/>
          <w:lang w:val="en-US" w:eastAsia="en-GB"/>
        </w:rPr>
        <w:t xml:space="preserve">in silico </w:t>
      </w:r>
      <w:r w:rsidRPr="00866128" w:rsidDel="005C54CF">
        <w:rPr>
          <w:lang w:val="en-US" w:eastAsia="en-GB"/>
        </w:rPr>
        <w:t>analysis of rs868 using the TargetScan software revealed that it is located in the docking site for let-7/miR98 microRNA family within the 3’UTR of TGFBR1 mRNA.</w:t>
      </w:r>
      <w:r w:rsidDel="005C54CF">
        <w:rPr>
          <w:lang w:val="en-US" w:eastAsia="en-GB"/>
        </w:rPr>
        <w:t xml:space="preserve"> </w:t>
      </w:r>
      <w:r>
        <w:rPr>
          <w:lang w:val="en-US" w:eastAsia="en-GB"/>
        </w:rPr>
        <w:t>A</w:t>
      </w:r>
      <w:r w:rsidRPr="00866128">
        <w:rPr>
          <w:lang w:val="en-US" w:eastAsia="en-GB"/>
        </w:rPr>
        <w:t xml:space="preserve"> fragment of </w:t>
      </w:r>
      <w:r w:rsidRPr="00866128">
        <w:rPr>
          <w:i/>
          <w:iCs/>
          <w:lang w:val="en-US" w:eastAsia="en-GB"/>
        </w:rPr>
        <w:t xml:space="preserve">TGFBR1 </w:t>
      </w:r>
      <w:r w:rsidRPr="00866128">
        <w:rPr>
          <w:lang w:val="en-US" w:eastAsia="en-GB"/>
        </w:rPr>
        <w:t>3’UTR encompassing the rs868</w:t>
      </w:r>
      <w:r>
        <w:rPr>
          <w:lang w:val="en-US" w:eastAsia="en-GB"/>
        </w:rPr>
        <w:t xml:space="preserve"> SNP</w:t>
      </w:r>
      <w:r w:rsidRPr="00866128">
        <w:rPr>
          <w:lang w:val="en-US" w:eastAsia="en-GB"/>
        </w:rPr>
        <w:t xml:space="preserve"> was cloned into a firefly luciferase containing plasmid, in the 3’position in regard to luciferase gene</w:t>
      </w:r>
      <w:r>
        <w:rPr>
          <w:lang w:val="en-US" w:eastAsia="en-GB"/>
        </w:rPr>
        <w:t>, and the biological effect of rs868 was confirmed in a liver cell line model</w:t>
      </w:r>
      <w:r w:rsidRPr="00866128">
        <w:rPr>
          <w:lang w:val="en-US" w:eastAsia="en-GB"/>
        </w:rPr>
        <w:t>. In the second stage of the study fresh frozen liver biopsy samples f</w:t>
      </w:r>
      <w:r>
        <w:rPr>
          <w:lang w:val="en-US" w:eastAsia="en-GB"/>
        </w:rPr>
        <w:t>rom</w:t>
      </w:r>
      <w:r w:rsidRPr="00866128">
        <w:rPr>
          <w:lang w:val="en-US" w:eastAsia="en-GB"/>
        </w:rPr>
        <w:t xml:space="preserve"> HCV</w:t>
      </w:r>
      <w:r>
        <w:rPr>
          <w:lang w:val="en-US" w:eastAsia="en-GB"/>
        </w:rPr>
        <w:t>+</w:t>
      </w:r>
      <w:r w:rsidRPr="00866128">
        <w:rPr>
          <w:lang w:val="en-US" w:eastAsia="en-GB"/>
        </w:rPr>
        <w:t xml:space="preserve"> LT recipients were </w:t>
      </w:r>
      <w:r>
        <w:rPr>
          <w:lang w:val="en-US" w:eastAsia="en-GB"/>
        </w:rPr>
        <w:t xml:space="preserve">used to confirm a negative correlation between </w:t>
      </w:r>
      <w:r w:rsidRPr="00866128">
        <w:rPr>
          <w:lang w:val="en-US"/>
        </w:rPr>
        <w:t>the levels of TGFBR1 mRNA and HCV load with the levels of let-7/miR-98 micr</w:t>
      </w:r>
      <w:r>
        <w:rPr>
          <w:lang w:val="en-US"/>
        </w:rPr>
        <w:t>o</w:t>
      </w:r>
      <w:r w:rsidRPr="00866128">
        <w:rPr>
          <w:lang w:val="en-US"/>
        </w:rPr>
        <w:t xml:space="preserve">RNAs. </w:t>
      </w:r>
      <w:r>
        <w:rPr>
          <w:lang w:val="en-US"/>
        </w:rPr>
        <w:t>This correlation</w:t>
      </w:r>
      <w:r w:rsidRPr="00866128">
        <w:rPr>
          <w:lang w:val="en-US"/>
        </w:rPr>
        <w:t xml:space="preserve"> was more pronounced and reached statistical significance in the biopsies </w:t>
      </w:r>
      <w:r>
        <w:rPr>
          <w:lang w:val="en-US"/>
        </w:rPr>
        <w:t>of rs868 G-allele carriers.</w:t>
      </w:r>
      <w:r>
        <w:rPr>
          <w:lang w:val="en-US" w:eastAsia="en-GB"/>
        </w:rPr>
        <w:t xml:space="preserve"> </w:t>
      </w:r>
      <w:r w:rsidRPr="00866128">
        <w:rPr>
          <w:lang w:val="en-US"/>
        </w:rPr>
        <w:t>Additionally</w:t>
      </w:r>
      <w:r>
        <w:rPr>
          <w:lang w:val="en-US"/>
        </w:rPr>
        <w:t xml:space="preserve">, </w:t>
      </w:r>
      <w:r w:rsidRPr="00866128">
        <w:rPr>
          <w:lang w:val="en-US"/>
        </w:rPr>
        <w:t xml:space="preserve">strong positive correlation </w:t>
      </w:r>
      <w:r>
        <w:rPr>
          <w:lang w:val="en-US"/>
        </w:rPr>
        <w:t>was</w:t>
      </w:r>
      <w:r w:rsidRPr="00866128">
        <w:rPr>
          <w:lang w:val="en-US"/>
        </w:rPr>
        <w:t xml:space="preserve"> observed between TGFBR1 mRNA and HCV RNA load regardless of rs868 genotype. </w:t>
      </w:r>
      <w:r>
        <w:rPr>
          <w:lang w:val="en-US"/>
        </w:rPr>
        <w:t xml:space="preserve">A negative correlation was also detected between histopathological markers of chronic hepatitis and the levels of let-7/miR-98 microRNAs in the samples derived from rs868 G-allele carriers. </w:t>
      </w:r>
    </w:p>
    <w:p w:rsidR="000247EF" w:rsidRPr="009E69DE" w:rsidRDefault="009E69DE" w:rsidP="009E69DE">
      <w:pPr>
        <w:spacing w:line="360" w:lineRule="auto"/>
        <w:ind w:firstLine="708"/>
        <w:rPr>
          <w:lang w:val="en-US"/>
        </w:rPr>
      </w:pPr>
      <w:r w:rsidRPr="00866128">
        <w:rPr>
          <w:lang w:val="en-US"/>
        </w:rPr>
        <w:t>Based on the presented results, the effect of the donor rs868 genotype on the course of hepatitis C recurrence after liver transplantation has been demonstrated.</w:t>
      </w:r>
      <w:r>
        <w:rPr>
          <w:lang w:val="en-US"/>
        </w:rPr>
        <w:t xml:space="preserve"> The donor A allele is identified as a risk associated allele. </w:t>
      </w:r>
      <w:r w:rsidRPr="00866128">
        <w:rPr>
          <w:rFonts w:eastAsia="Times New Roman"/>
          <w:lang w:val="en-US" w:eastAsia="en-GB"/>
        </w:rPr>
        <w:t>Taking into account the presented literature and microRNA therapeutical potential, the rs868 SNP can be employed as a non-invasive marker in the care of HCV+ transplant recipients and as prognostic factor for future microRNA based therapies.</w:t>
      </w:r>
    </w:p>
    <w:sectPr w:rsidR="000247EF" w:rsidRPr="009E69DE" w:rsidSect="00BF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5"/>
    <w:rsid w:val="000247EF"/>
    <w:rsid w:val="009976C2"/>
    <w:rsid w:val="009E69DE"/>
    <w:rsid w:val="00BF1B0D"/>
    <w:rsid w:val="00D46635"/>
    <w:rsid w:val="00D964FC"/>
    <w:rsid w:val="00F9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napToGrid w:val="0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DE"/>
    <w:pPr>
      <w:autoSpaceDE w:val="0"/>
      <w:autoSpaceDN w:val="0"/>
      <w:adjustRightInd w:val="0"/>
      <w:jc w:val="both"/>
    </w:pPr>
    <w:rPr>
      <w:rFonts w:asciiTheme="majorBidi" w:eastAsiaTheme="minorHAnsi" w:hAnsiTheme="majorBidi" w:cstheme="majorBidi"/>
      <w:snapToGrid/>
      <w:szCs w:val="24"/>
    </w:rPr>
  </w:style>
  <w:style w:type="paragraph" w:styleId="Nagwek1">
    <w:name w:val="heading 1"/>
    <w:basedOn w:val="Normalny"/>
    <w:link w:val="Nagwek1Znak"/>
    <w:uiPriority w:val="9"/>
    <w:qFormat/>
    <w:rsid w:val="009E69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1D70"/>
    <w:pPr>
      <w:keepNext/>
      <w:widowControl w:val="0"/>
      <w:autoSpaceDE/>
      <w:autoSpaceDN/>
      <w:adjustRightInd/>
      <w:outlineLvl w:val="1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91D70"/>
    <w:pPr>
      <w:keepNext/>
      <w:widowControl w:val="0"/>
      <w:autoSpaceDE/>
      <w:autoSpaceDN/>
      <w:adjustRightInd/>
      <w:outlineLvl w:val="4"/>
    </w:pPr>
    <w:rPr>
      <w:rFonts w:ascii="Arial" w:eastAsia="Times New Roman" w:hAnsi="Arial" w:cs="Times New Roman"/>
      <w:b/>
      <w:snapToGrid w:val="0"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1D70"/>
    <w:rPr>
      <w:rFonts w:ascii="Arial" w:hAnsi="Arial"/>
      <w:snapToGrid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1D70"/>
    <w:rPr>
      <w:rFonts w:ascii="Arial" w:hAnsi="Arial"/>
      <w:b/>
      <w:snapToGrid/>
      <w:color w:val="FF0000"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9DE"/>
    <w:rPr>
      <w:rFonts w:ascii="Times New Roman" w:hAnsi="Times New Roman" w:cstheme="majorBidi"/>
      <w:b/>
      <w:bCs/>
      <w:snapToGrid/>
      <w:kern w:val="36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napToGrid w:val="0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DE"/>
    <w:pPr>
      <w:autoSpaceDE w:val="0"/>
      <w:autoSpaceDN w:val="0"/>
      <w:adjustRightInd w:val="0"/>
      <w:jc w:val="both"/>
    </w:pPr>
    <w:rPr>
      <w:rFonts w:asciiTheme="majorBidi" w:eastAsiaTheme="minorHAnsi" w:hAnsiTheme="majorBidi" w:cstheme="majorBidi"/>
      <w:snapToGrid/>
      <w:szCs w:val="24"/>
    </w:rPr>
  </w:style>
  <w:style w:type="paragraph" w:styleId="Nagwek1">
    <w:name w:val="heading 1"/>
    <w:basedOn w:val="Normalny"/>
    <w:link w:val="Nagwek1Znak"/>
    <w:uiPriority w:val="9"/>
    <w:qFormat/>
    <w:rsid w:val="009E69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1D70"/>
    <w:pPr>
      <w:keepNext/>
      <w:widowControl w:val="0"/>
      <w:autoSpaceDE/>
      <w:autoSpaceDN/>
      <w:adjustRightInd/>
      <w:outlineLvl w:val="1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91D70"/>
    <w:pPr>
      <w:keepNext/>
      <w:widowControl w:val="0"/>
      <w:autoSpaceDE/>
      <w:autoSpaceDN/>
      <w:adjustRightInd/>
      <w:outlineLvl w:val="4"/>
    </w:pPr>
    <w:rPr>
      <w:rFonts w:ascii="Arial" w:eastAsia="Times New Roman" w:hAnsi="Arial" w:cs="Times New Roman"/>
      <w:b/>
      <w:snapToGrid w:val="0"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1D70"/>
    <w:rPr>
      <w:rFonts w:ascii="Arial" w:hAnsi="Arial"/>
      <w:snapToGrid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1D70"/>
    <w:rPr>
      <w:rFonts w:ascii="Arial" w:hAnsi="Arial"/>
      <w:b/>
      <w:snapToGrid/>
      <w:color w:val="FF0000"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9DE"/>
    <w:rPr>
      <w:rFonts w:ascii="Times New Roman" w:hAnsi="Times New Roman" w:cstheme="majorBidi"/>
      <w:b/>
      <w:bCs/>
      <w:snapToGrid/>
      <w:kern w:val="36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Krzywicka</dc:creator>
  <cp:lastModifiedBy>Małgorzata Wierzbicka</cp:lastModifiedBy>
  <cp:revision>2</cp:revision>
  <dcterms:created xsi:type="dcterms:W3CDTF">2018-10-24T12:07:00Z</dcterms:created>
  <dcterms:modified xsi:type="dcterms:W3CDTF">2018-10-24T12:07:00Z</dcterms:modified>
</cp:coreProperties>
</file>